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084C" w14:textId="36F2F7EA" w:rsidR="009B7E8B" w:rsidRDefault="009B7E8B" w:rsidP="009B7E8B">
      <w:pPr>
        <w:jc w:val="center"/>
        <w:rPr>
          <w:b/>
        </w:rPr>
      </w:pPr>
      <w:r w:rsidRPr="009B7E8B">
        <w:rPr>
          <w:b/>
        </w:rPr>
        <w:t>ETUDE BIOVAS</w:t>
      </w:r>
    </w:p>
    <w:p w14:paraId="01250DA0" w14:textId="77777777" w:rsidR="009B7E8B" w:rsidRPr="009B7E8B" w:rsidRDefault="009B7E8B" w:rsidP="009B7E8B">
      <w:pPr>
        <w:jc w:val="center"/>
        <w:rPr>
          <w:b/>
        </w:rPr>
      </w:pPr>
    </w:p>
    <w:p w14:paraId="05886794" w14:textId="77777777" w:rsidR="008C6487" w:rsidRDefault="009B7E8B" w:rsidP="009B7E8B">
      <w:pPr>
        <w:jc w:val="center"/>
      </w:pPr>
      <w:r>
        <w:t>(</w:t>
      </w:r>
      <w:proofErr w:type="spellStart"/>
      <w:r w:rsidRPr="009B7E8B">
        <w:rPr>
          <w:b/>
        </w:rPr>
        <w:t>BIO</w:t>
      </w:r>
      <w:r>
        <w:t>thérapies</w:t>
      </w:r>
      <w:proofErr w:type="spellEnd"/>
      <w:r>
        <w:t xml:space="preserve"> dans les </w:t>
      </w:r>
      <w:proofErr w:type="spellStart"/>
      <w:r w:rsidRPr="009B7E8B">
        <w:rPr>
          <w:b/>
        </w:rPr>
        <w:t>VAS</w:t>
      </w:r>
      <w:r>
        <w:t>cularites</w:t>
      </w:r>
      <w:proofErr w:type="spellEnd"/>
      <w:r>
        <w:t xml:space="preserve"> rétiniennes et </w:t>
      </w:r>
      <w:proofErr w:type="spellStart"/>
      <w:r>
        <w:t>oedèmes</w:t>
      </w:r>
      <w:proofErr w:type="spellEnd"/>
      <w:r>
        <w:t xml:space="preserve"> maculaires)</w:t>
      </w:r>
    </w:p>
    <w:p w14:paraId="5CFA51F0" w14:textId="77777777" w:rsidR="009B7E8B" w:rsidRDefault="009B7E8B" w:rsidP="009B7E8B">
      <w:pPr>
        <w:jc w:val="center"/>
      </w:pPr>
    </w:p>
    <w:p w14:paraId="0A2639DE" w14:textId="77777777" w:rsidR="009B7E8B" w:rsidRDefault="009B7E8B" w:rsidP="009B7E8B">
      <w:pPr>
        <w:jc w:val="center"/>
      </w:pPr>
    </w:p>
    <w:p w14:paraId="7786AD6C" w14:textId="601E3AE8" w:rsidR="009B7E8B" w:rsidRDefault="009B7E8B" w:rsidP="009B7E8B">
      <w:r w:rsidRPr="009B7E8B">
        <w:rPr>
          <w:b/>
        </w:rPr>
        <w:t>Objectif</w:t>
      </w:r>
      <w:r>
        <w:t> : Déterminer l’efficacité et la tolérance des anti-TNF ou des anti-IL6R dans le</w:t>
      </w:r>
      <w:r w:rsidR="00412D5F">
        <w:t>s vascularites rétiniennes et les</w:t>
      </w:r>
      <w:r>
        <w:t xml:space="preserve"> </w:t>
      </w:r>
      <w:proofErr w:type="spellStart"/>
      <w:r>
        <w:t>oedèmes</w:t>
      </w:r>
      <w:proofErr w:type="spellEnd"/>
      <w:r>
        <w:t xml:space="preserve"> maculaires.</w:t>
      </w:r>
    </w:p>
    <w:p w14:paraId="04B7F5C9" w14:textId="77777777" w:rsidR="009B7E8B" w:rsidRDefault="009B7E8B" w:rsidP="009B7E8B"/>
    <w:p w14:paraId="205CC2B7" w14:textId="77777777" w:rsidR="00292457" w:rsidRDefault="00292457" w:rsidP="009B7E8B"/>
    <w:p w14:paraId="21A69DC8" w14:textId="77777777" w:rsidR="00292457" w:rsidRDefault="00292457" w:rsidP="009B7E8B"/>
    <w:p w14:paraId="0FFFB715" w14:textId="77777777" w:rsidR="009B7E8B" w:rsidRDefault="00292457" w:rsidP="009B7E8B">
      <w:r w:rsidRPr="00292457">
        <w:rPr>
          <w:b/>
        </w:rPr>
        <w:t>Inclusion</w:t>
      </w:r>
      <w:r>
        <w:t> : Patient mis sous biothérapie (anti-TNF et/ou anti-IL6R) pour une Vascularite rétinienne et/ou un œdème maculaire.</w:t>
      </w:r>
    </w:p>
    <w:p w14:paraId="601F67A9" w14:textId="77777777" w:rsidR="00292457" w:rsidRDefault="00292457" w:rsidP="009B7E8B"/>
    <w:p w14:paraId="2FD89FBA" w14:textId="77777777" w:rsidR="00292457" w:rsidRDefault="00292457" w:rsidP="009B7E8B"/>
    <w:p w14:paraId="24747A8A" w14:textId="77777777" w:rsidR="00292457" w:rsidRDefault="00292457" w:rsidP="009B7E8B">
      <w:r w:rsidRPr="00292457">
        <w:rPr>
          <w:b/>
        </w:rPr>
        <w:t>Comment participer</w:t>
      </w:r>
      <w:r>
        <w:t xml:space="preserve"> : </w:t>
      </w:r>
    </w:p>
    <w:p w14:paraId="238DBD0D" w14:textId="77777777" w:rsidR="00292457" w:rsidRDefault="00292457" w:rsidP="00292457">
      <w:pPr>
        <w:pStyle w:val="Paragraphedeliste"/>
        <w:numPr>
          <w:ilvl w:val="0"/>
          <w:numId w:val="1"/>
        </w:numPr>
      </w:pPr>
      <w:r>
        <w:t>Si vous avez &gt;7 patients à inclure</w:t>
      </w:r>
    </w:p>
    <w:p w14:paraId="0F9A690D" w14:textId="7CED8428" w:rsidR="00292457" w:rsidRDefault="00292457" w:rsidP="00292457">
      <w:pPr>
        <w:pStyle w:val="Paragraphedeliste"/>
        <w:numPr>
          <w:ilvl w:val="0"/>
          <w:numId w:val="1"/>
        </w:numPr>
      </w:pPr>
      <w:r>
        <w:t xml:space="preserve">Envoyer les CR d’hospitalisation et/ou de consultation à </w:t>
      </w:r>
      <w:r w:rsidR="007A387B" w:rsidRPr="007A387B">
        <w:rPr>
          <w:b/>
        </w:rPr>
        <w:t>georginamaalouf1@gmail.com</w:t>
      </w:r>
    </w:p>
    <w:p w14:paraId="31BCDC95" w14:textId="77777777" w:rsidR="00292457" w:rsidRDefault="00292457" w:rsidP="00292457">
      <w:pPr>
        <w:pStyle w:val="Paragraphedeliste"/>
        <w:numPr>
          <w:ilvl w:val="0"/>
          <w:numId w:val="1"/>
        </w:numPr>
      </w:pPr>
      <w:r>
        <w:t>Pour les centres ayant &gt;15-20 patients nous pourrons envoyer quelqu’un recueillir les données sur place</w:t>
      </w:r>
    </w:p>
    <w:p w14:paraId="35671732" w14:textId="77777777" w:rsidR="00292457" w:rsidRDefault="00292457" w:rsidP="00292457"/>
    <w:p w14:paraId="4EF1B58D" w14:textId="77777777" w:rsidR="00292457" w:rsidRDefault="00292457" w:rsidP="00292457"/>
    <w:p w14:paraId="29CEBAA4" w14:textId="77777777" w:rsidR="00292457" w:rsidRPr="005E790C" w:rsidRDefault="00292457" w:rsidP="00292457">
      <w:pPr>
        <w:rPr>
          <w:b/>
        </w:rPr>
      </w:pPr>
      <w:r w:rsidRPr="005E790C">
        <w:rPr>
          <w:b/>
        </w:rPr>
        <w:t>Calendrier :</w:t>
      </w:r>
    </w:p>
    <w:p w14:paraId="7ADAE5F0" w14:textId="0C64F0BE" w:rsidR="00292457" w:rsidRDefault="00292457" w:rsidP="00292457">
      <w:r>
        <w:t xml:space="preserve">Fin du recueil des cas </w:t>
      </w:r>
      <w:r w:rsidR="00376BBD">
        <w:t>déc</w:t>
      </w:r>
      <w:r>
        <w:t>embre 2019</w:t>
      </w:r>
    </w:p>
    <w:p w14:paraId="3AB42984" w14:textId="77777777" w:rsidR="00292457" w:rsidRDefault="00292457" w:rsidP="00292457">
      <w:r>
        <w:t>Fin d’analyse des données Mars 2020</w:t>
      </w:r>
    </w:p>
    <w:p w14:paraId="2CA97436" w14:textId="77777777" w:rsidR="00292457" w:rsidRDefault="00292457" w:rsidP="00292457">
      <w:r>
        <w:t>Présentation congrès national et international Juin-</w:t>
      </w:r>
      <w:proofErr w:type="spellStart"/>
      <w:r>
        <w:t>Nov</w:t>
      </w:r>
      <w:proofErr w:type="spellEnd"/>
      <w:r>
        <w:t xml:space="preserve"> 2020</w:t>
      </w:r>
      <w:bookmarkStart w:id="0" w:name="_GoBack"/>
      <w:bookmarkEnd w:id="0"/>
    </w:p>
    <w:p w14:paraId="7BDC0B7D" w14:textId="77777777" w:rsidR="00292457" w:rsidRDefault="00292457" w:rsidP="00292457">
      <w:r>
        <w:t>Publication fin 2020</w:t>
      </w:r>
    </w:p>
    <w:p w14:paraId="096E70A8" w14:textId="77777777" w:rsidR="007A387B" w:rsidRDefault="007A387B" w:rsidP="00292457"/>
    <w:p w14:paraId="6CE4A2A3" w14:textId="425E2E21" w:rsidR="007A387B" w:rsidRPr="007A387B" w:rsidRDefault="007A387B" w:rsidP="00292457">
      <w:pPr>
        <w:rPr>
          <w:b/>
        </w:rPr>
      </w:pPr>
      <w:r w:rsidRPr="007A387B">
        <w:rPr>
          <w:b/>
        </w:rPr>
        <w:t>Contact :</w:t>
      </w:r>
    </w:p>
    <w:p w14:paraId="321C74B7" w14:textId="5CD0B6E7" w:rsidR="007A387B" w:rsidRDefault="007A387B" w:rsidP="00292457">
      <w:r>
        <w:t xml:space="preserve">Pr David SAADOUN  </w:t>
      </w:r>
      <w:hyperlink r:id="rId6" w:history="1">
        <w:r w:rsidRPr="002768CC">
          <w:rPr>
            <w:rStyle w:val="Lienhypertexte"/>
          </w:rPr>
          <w:t>david.saadoun@aphp.fr</w:t>
        </w:r>
      </w:hyperlink>
    </w:p>
    <w:p w14:paraId="08B66A53" w14:textId="575D0A95" w:rsidR="007A387B" w:rsidRPr="00376BBD" w:rsidRDefault="007A387B" w:rsidP="00292457">
      <w:pPr>
        <w:rPr>
          <w:b/>
          <w:lang w:val="en-US"/>
        </w:rPr>
      </w:pPr>
      <w:proofErr w:type="spellStart"/>
      <w:r w:rsidRPr="00376BBD">
        <w:rPr>
          <w:lang w:val="en-US"/>
        </w:rPr>
        <w:t>Dr</w:t>
      </w:r>
      <w:proofErr w:type="spellEnd"/>
      <w:r w:rsidRPr="00376BBD">
        <w:rPr>
          <w:lang w:val="en-US"/>
        </w:rPr>
        <w:t xml:space="preserve"> Georgina </w:t>
      </w:r>
      <w:proofErr w:type="spellStart"/>
      <w:r w:rsidRPr="00376BBD">
        <w:rPr>
          <w:lang w:val="en-US"/>
        </w:rPr>
        <w:t>Maalouf</w:t>
      </w:r>
      <w:proofErr w:type="spellEnd"/>
      <w:r w:rsidRPr="00376BBD">
        <w:rPr>
          <w:lang w:val="en-US"/>
        </w:rPr>
        <w:t xml:space="preserve">   </w:t>
      </w:r>
      <w:hyperlink r:id="rId7" w:history="1">
        <w:r w:rsidRPr="00376BBD">
          <w:rPr>
            <w:rStyle w:val="Lienhypertexte"/>
            <w:b/>
            <w:lang w:val="en-US"/>
          </w:rPr>
          <w:t>georginamaalouf1@gmail.com</w:t>
        </w:r>
      </w:hyperlink>
    </w:p>
    <w:p w14:paraId="30F81645" w14:textId="7074B37A" w:rsidR="007A387B" w:rsidRPr="007A387B" w:rsidRDefault="007A387B" w:rsidP="00292457">
      <w:r w:rsidRPr="007A387B">
        <w:t>Département Médecine Interne et Immunologie clinique</w:t>
      </w:r>
    </w:p>
    <w:p w14:paraId="276BDFC8" w14:textId="3C46380E" w:rsidR="007A387B" w:rsidRPr="007A387B" w:rsidRDefault="007A387B" w:rsidP="00292457">
      <w:r w:rsidRPr="007A387B">
        <w:t xml:space="preserve">Hôpital Pitié </w:t>
      </w:r>
      <w:proofErr w:type="spellStart"/>
      <w:r w:rsidRPr="007A387B">
        <w:t>Salpétriêre</w:t>
      </w:r>
      <w:proofErr w:type="spellEnd"/>
      <w:r w:rsidRPr="007A387B">
        <w:t>, Paris</w:t>
      </w:r>
    </w:p>
    <w:p w14:paraId="1A403D9B" w14:textId="77777777" w:rsidR="007A387B" w:rsidRDefault="007A387B" w:rsidP="00292457"/>
    <w:p w14:paraId="2D88167C" w14:textId="77777777" w:rsidR="007A387B" w:rsidRDefault="007A387B" w:rsidP="00292457"/>
    <w:p w14:paraId="3EF3ED6A" w14:textId="1230E983" w:rsidR="007A387B" w:rsidRDefault="007A387B" w:rsidP="007A387B">
      <w:pPr>
        <w:ind w:left="3540"/>
      </w:pPr>
    </w:p>
    <w:p w14:paraId="2EE7D127" w14:textId="797B0B39" w:rsidR="007A387B" w:rsidRDefault="007A387B" w:rsidP="007A387B">
      <w:pPr>
        <w:ind w:left="2124"/>
      </w:pPr>
      <w:r w:rsidRPr="007A387B">
        <w:rPr>
          <w:noProof/>
        </w:rPr>
        <w:drawing>
          <wp:inline distT="0" distB="0" distL="0" distR="0" wp14:anchorId="006A723C" wp14:editId="0EAD2A43">
            <wp:extent cx="3170398" cy="1640628"/>
            <wp:effectExtent l="0" t="0" r="508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22" cy="164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E4F9040" w14:textId="77777777" w:rsidR="007A387B" w:rsidRDefault="007A387B" w:rsidP="00292457"/>
    <w:p w14:paraId="1D5D9AE1" w14:textId="054CDD82" w:rsidR="007A387B" w:rsidRDefault="007A387B" w:rsidP="00292457"/>
    <w:sectPr w:rsidR="007A387B" w:rsidSect="00BB63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59E"/>
    <w:multiLevelType w:val="hybridMultilevel"/>
    <w:tmpl w:val="6D76B8BC"/>
    <w:lvl w:ilvl="0" w:tplc="8AAA47FE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8B"/>
    <w:rsid w:val="00292457"/>
    <w:rsid w:val="00376BBD"/>
    <w:rsid w:val="00412D5F"/>
    <w:rsid w:val="005E790C"/>
    <w:rsid w:val="007A387B"/>
    <w:rsid w:val="008C6487"/>
    <w:rsid w:val="008E0C62"/>
    <w:rsid w:val="009B7E8B"/>
    <w:rsid w:val="00B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EC3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4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38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87B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3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4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38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87B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georginamaalouf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saadoun@aphp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SAADOUN David</cp:lastModifiedBy>
  <cp:revision>12</cp:revision>
  <dcterms:created xsi:type="dcterms:W3CDTF">2018-12-14T07:30:00Z</dcterms:created>
  <dcterms:modified xsi:type="dcterms:W3CDTF">2019-01-08T16:46:00Z</dcterms:modified>
</cp:coreProperties>
</file>